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A7FD5">
      <w:pPr>
        <w:tabs>
          <w:tab w:val="left" w:pos="729"/>
        </w:tabs>
        <w:spacing w:line="560" w:lineRule="exact"/>
        <w:rPr>
          <w:rFonts w:hint="eastAsia" w:eastAsia="黑体" w:cs="宋体"/>
          <w:color w:val="000000"/>
          <w:kern w:val="0"/>
          <w:sz w:val="28"/>
          <w:szCs w:val="28"/>
          <w:lang w:eastAsia="zh-CN"/>
        </w:rPr>
      </w:pPr>
      <w:r>
        <w:rPr>
          <w:rFonts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eastAsia="黑体" w:cs="宋体"/>
          <w:color w:val="000000"/>
          <w:kern w:val="0"/>
          <w:sz w:val="28"/>
          <w:szCs w:val="28"/>
        </w:rPr>
        <w:t>2-2</w:t>
      </w:r>
      <w:r>
        <w:rPr>
          <w:rFonts w:hint="eastAsia" w:eastAsia="黑体" w:cs="宋体"/>
          <w:color w:val="0000FF"/>
          <w:kern w:val="0"/>
          <w:sz w:val="28"/>
          <w:szCs w:val="28"/>
          <w:lang w:eastAsia="zh-CN"/>
        </w:rPr>
        <w:t>（</w:t>
      </w:r>
      <w:r>
        <w:rPr>
          <w:rFonts w:hint="eastAsia" w:eastAsia="黑体" w:cs="宋体"/>
          <w:color w:val="0000FF"/>
          <w:kern w:val="0"/>
          <w:sz w:val="28"/>
          <w:szCs w:val="28"/>
          <w:lang w:val="en-US" w:eastAsia="zh-CN"/>
        </w:rPr>
        <w:t>校级/院级</w:t>
      </w:r>
      <w:r>
        <w:rPr>
          <w:rFonts w:hint="eastAsia" w:eastAsia="黑体" w:cs="宋体"/>
          <w:color w:val="0000FF"/>
          <w:kern w:val="0"/>
          <w:sz w:val="28"/>
          <w:szCs w:val="28"/>
          <w:lang w:eastAsia="zh-CN"/>
        </w:rPr>
        <w:t>）</w:t>
      </w:r>
      <w:bookmarkStart w:id="0" w:name="_GoBack"/>
      <w:bookmarkEnd w:id="0"/>
    </w:p>
    <w:p w14:paraId="31C4335A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年度“华南农业大学五四红旗团支部（标兵）”申报表</w:t>
      </w:r>
    </w:p>
    <w:tbl>
      <w:tblPr>
        <w:tblStyle w:val="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168"/>
        <w:gridCol w:w="117"/>
        <w:gridCol w:w="657"/>
        <w:gridCol w:w="386"/>
        <w:gridCol w:w="514"/>
        <w:gridCol w:w="853"/>
        <w:gridCol w:w="680"/>
        <w:gridCol w:w="486"/>
        <w:gridCol w:w="681"/>
        <w:gridCol w:w="651"/>
        <w:gridCol w:w="1333"/>
      </w:tblGrid>
      <w:tr w14:paraId="6375D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2EF35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C5C6A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E6051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51C63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2606C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58AB1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教育评议制度</w:t>
            </w:r>
          </w:p>
          <w:p w14:paraId="6B334F71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410B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6C643"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年度注册制度</w:t>
            </w:r>
          </w:p>
          <w:p w14:paraId="2BF9F2DE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755C0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7C475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ED8876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基本情况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45F80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组织成立时间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66525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E8634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现有团员</w:t>
            </w:r>
          </w:p>
          <w:p w14:paraId="798100C1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总数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46CFD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F170E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年发展</w:t>
            </w:r>
          </w:p>
          <w:p w14:paraId="76E8D32D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团员人数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781AB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69767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814B0"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08E84"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年“推优”入党人数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03831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2FC86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团支部上两学期挂科率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62904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E990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0B4A87">
            <w:pPr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C420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.0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.03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19D52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7EC3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团员连续</w:t>
            </w:r>
            <w:r>
              <w:rPr>
                <w:rFonts w:hint="eastAsia" w:cs="方正仿宋_GBK" w:eastAsiaTheme="minorEastAsia"/>
                <w:szCs w:val="21"/>
              </w:rPr>
              <w:t>3</w:t>
            </w:r>
            <w:r>
              <w:rPr>
                <w:rFonts w:hint="eastAsia" w:cs="宋体" w:eastAsiaTheme="minorEastAsia"/>
                <w:szCs w:val="21"/>
              </w:rPr>
              <w:t>个月</w:t>
            </w:r>
          </w:p>
          <w:p w14:paraId="4067814D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未交团费比例</w:t>
            </w:r>
          </w:p>
          <w:p w14:paraId="124928D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（截至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.04.01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7D6E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67D4F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1933AB">
            <w:pPr>
              <w:spacing w:line="240" w:lineRule="exact"/>
              <w:jc w:val="left"/>
              <w:rPr>
                <w:rFonts w:cs="宋体" w:eastAsiaTheme="minorEastAsia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34174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本级及所有下级团组织书记规范配备率（截至202</w:t>
            </w:r>
            <w:r>
              <w:rPr>
                <w:rFonts w:cs="宋体" w:eastAsiaTheme="minorEastAsia"/>
                <w:szCs w:val="21"/>
              </w:rPr>
              <w:t>5</w:t>
            </w:r>
            <w:r>
              <w:rPr>
                <w:rFonts w:hint="eastAsia" w:cs="宋体" w:eastAsiaTheme="minorEastAsia"/>
                <w:szCs w:val="21"/>
              </w:rPr>
              <w:t>.04.01）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AF185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ADDE7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本级及所有下级团组织党史学习教育完成率（截至202</w:t>
            </w:r>
            <w:r>
              <w:rPr>
                <w:rFonts w:cs="宋体" w:eastAsiaTheme="minorEastAsia"/>
                <w:szCs w:val="21"/>
              </w:rPr>
              <w:t>5</w:t>
            </w:r>
            <w:r>
              <w:rPr>
                <w:rFonts w:hint="eastAsia" w:cs="宋体" w:eastAsiaTheme="minorEastAsia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71482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C8C2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5D0782">
            <w:pPr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eastAsiaTheme="minorEastAsia"/>
                <w:szCs w:val="21"/>
              </w:rPr>
              <w:t>i</w:t>
            </w:r>
            <w:r>
              <w:rPr>
                <w:rFonts w:hint="eastAsia" w:cs="宋体" w:eastAsiaTheme="minor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0E25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90898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7068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B5E2B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年对标定级结果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89C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22FEE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3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727143D">
            <w:pPr>
              <w:ind w:left="113" w:right="113"/>
              <w:jc w:val="center"/>
              <w:rPr>
                <w:rFonts w:cs="方正仿宋_GBK" w:eastAsiaTheme="minorEastAsia"/>
                <w:spacing w:val="30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FF677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1DA38AE9">
            <w:pPr>
              <w:rPr>
                <w:rFonts w:cs="方正仿宋_GBK" w:eastAsiaTheme="minorEastAsia"/>
                <w:szCs w:val="21"/>
              </w:rPr>
            </w:pPr>
          </w:p>
        </w:tc>
      </w:tr>
      <w:tr w14:paraId="69C0B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BDE24C3">
            <w:pPr>
              <w:ind w:left="113" w:right="113"/>
              <w:jc w:val="center"/>
              <w:rPr>
                <w:rFonts w:cs="宋体" w:eastAsiaTheme="minorEastAsia"/>
                <w:spacing w:val="30"/>
                <w:szCs w:val="21"/>
              </w:rPr>
            </w:pPr>
            <w:r>
              <w:rPr>
                <w:rFonts w:hint="eastAsia" w:cs="宋体" w:eastAsiaTheme="minorEastAsia"/>
                <w:spacing w:val="30"/>
                <w:szCs w:val="21"/>
              </w:rPr>
              <w:t>近年来开展的主要活动情况以及取得的效果</w:t>
            </w:r>
          </w:p>
          <w:p w14:paraId="58FDCCB1">
            <w:pPr>
              <w:ind w:left="113" w:right="113"/>
              <w:jc w:val="center"/>
              <w:rPr>
                <w:rFonts w:cs="方正仿宋_GBK" w:eastAsiaTheme="minorEastAsia"/>
                <w:spacing w:val="30"/>
                <w:szCs w:val="21"/>
              </w:rPr>
            </w:pPr>
            <w:r>
              <w:rPr>
                <w:rFonts w:hint="eastAsia" w:cs="宋体" w:eastAsiaTheme="minor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B5830">
            <w:pPr>
              <w:rPr>
                <w:rFonts w:cs="方正仿宋_GBK" w:eastAsiaTheme="minorEastAsia"/>
                <w:szCs w:val="21"/>
              </w:rPr>
            </w:pPr>
          </w:p>
          <w:p w14:paraId="2541B927">
            <w:pPr>
              <w:rPr>
                <w:rFonts w:cs="方正仿宋_GBK" w:eastAsiaTheme="minorEastAsia"/>
                <w:szCs w:val="21"/>
              </w:rPr>
            </w:pPr>
          </w:p>
          <w:p w14:paraId="7F302DAE">
            <w:pPr>
              <w:rPr>
                <w:rFonts w:cs="方正仿宋_GBK" w:eastAsiaTheme="minorEastAsia"/>
                <w:szCs w:val="21"/>
              </w:rPr>
            </w:pPr>
          </w:p>
          <w:p w14:paraId="05955259">
            <w:pPr>
              <w:rPr>
                <w:rFonts w:cs="方正仿宋_GBK" w:eastAsiaTheme="minorEastAsia"/>
                <w:szCs w:val="21"/>
              </w:rPr>
            </w:pPr>
          </w:p>
          <w:p w14:paraId="2FFBD1D2">
            <w:pPr>
              <w:rPr>
                <w:rFonts w:cs="方正仿宋_GBK" w:eastAsiaTheme="minorEastAsia"/>
                <w:szCs w:val="21"/>
              </w:rPr>
            </w:pPr>
          </w:p>
          <w:p w14:paraId="4EA1D6CE">
            <w:pPr>
              <w:rPr>
                <w:rFonts w:cs="方正仿宋_GBK" w:eastAsiaTheme="minorEastAsia"/>
                <w:szCs w:val="21"/>
              </w:rPr>
            </w:pPr>
          </w:p>
          <w:p w14:paraId="3CE29657">
            <w:pPr>
              <w:rPr>
                <w:rFonts w:cs="方正仿宋_GBK" w:eastAsiaTheme="minorEastAsia"/>
                <w:szCs w:val="21"/>
              </w:rPr>
            </w:pPr>
          </w:p>
          <w:p w14:paraId="75DA6BEB">
            <w:pPr>
              <w:rPr>
                <w:rFonts w:cs="方正仿宋_GBK" w:eastAsiaTheme="minorEastAsia"/>
                <w:szCs w:val="21"/>
              </w:rPr>
            </w:pPr>
          </w:p>
          <w:p w14:paraId="489D10C8">
            <w:pPr>
              <w:rPr>
                <w:rFonts w:cs="方正仿宋_GBK" w:eastAsiaTheme="minorEastAsia"/>
                <w:szCs w:val="21"/>
              </w:rPr>
            </w:pPr>
          </w:p>
          <w:p w14:paraId="79387329">
            <w:pPr>
              <w:rPr>
                <w:rFonts w:cs="方正仿宋_GBK" w:eastAsiaTheme="minorEastAsia"/>
                <w:szCs w:val="21"/>
              </w:rPr>
            </w:pPr>
          </w:p>
          <w:p w14:paraId="2003BD9F">
            <w:pPr>
              <w:rPr>
                <w:rFonts w:cs="方正仿宋_GBK" w:eastAsiaTheme="minorEastAsia"/>
                <w:szCs w:val="21"/>
              </w:rPr>
            </w:pPr>
          </w:p>
          <w:p w14:paraId="1F5BB08A">
            <w:pPr>
              <w:rPr>
                <w:rFonts w:cs="方正仿宋_GBK" w:eastAsiaTheme="minorEastAsia"/>
                <w:szCs w:val="21"/>
              </w:rPr>
            </w:pPr>
          </w:p>
          <w:p w14:paraId="743D5BA3">
            <w:pPr>
              <w:rPr>
                <w:rFonts w:cs="方正仿宋_GBK" w:eastAsiaTheme="minorEastAsia"/>
                <w:szCs w:val="21"/>
              </w:rPr>
            </w:pPr>
          </w:p>
          <w:p w14:paraId="22973453">
            <w:pPr>
              <w:rPr>
                <w:rFonts w:cs="方正仿宋_GBK" w:eastAsiaTheme="minorEastAsia"/>
                <w:szCs w:val="21"/>
              </w:rPr>
            </w:pPr>
          </w:p>
          <w:p w14:paraId="1C6E749F">
            <w:pPr>
              <w:rPr>
                <w:rFonts w:cs="方正仿宋_GBK" w:eastAsiaTheme="minorEastAsia"/>
                <w:szCs w:val="21"/>
              </w:rPr>
            </w:pPr>
          </w:p>
          <w:p w14:paraId="761D5BE1">
            <w:pPr>
              <w:rPr>
                <w:rFonts w:cs="方正仿宋_GBK" w:eastAsiaTheme="minorEastAsia"/>
                <w:szCs w:val="21"/>
              </w:rPr>
            </w:pPr>
          </w:p>
        </w:tc>
      </w:tr>
      <w:tr w14:paraId="7AE3C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1F719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584370F4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D8C0D">
            <w:pPr>
              <w:rPr>
                <w:rFonts w:cs="方正仿宋_GBK" w:eastAsiaTheme="minorEastAsia"/>
                <w:szCs w:val="21"/>
              </w:rPr>
            </w:pPr>
          </w:p>
          <w:p w14:paraId="28D60DDC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10433BCF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3019311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67F9E780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FA9B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6BDF4747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3F63">
            <w:pPr>
              <w:rPr>
                <w:rFonts w:cs="方正仿宋_GBK" w:eastAsiaTheme="minorEastAsia"/>
                <w:szCs w:val="21"/>
              </w:rPr>
            </w:pPr>
          </w:p>
          <w:p w14:paraId="01CB6DFD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7DF62BA0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5C64B9F5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1A94ABD3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5FC5172A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</w:t>
      </w:r>
    </w:p>
    <w:p w14:paraId="26F1309B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1.请勿随意更改申报表格式，保持本表在两页纸内，纸质版请双面打印。</w:t>
      </w:r>
    </w:p>
    <w:p w14:paraId="4BE417C4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2.查看到本级及下级团组织202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年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月至202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>年3月“本级及下级业务响应率”数据，按照以下公式计算得出“平均业务及时响应率”：</w:t>
      </w:r>
    </w:p>
    <w:p w14:paraId="3DCCD50F">
      <w:pPr>
        <w:adjustRightInd w:val="0"/>
        <w:snapToGrid w:val="0"/>
        <w:spacing w:line="360" w:lineRule="auto"/>
        <w:jc w:val="left"/>
        <w:rPr>
          <w:rFonts w:cs="宋体" w:eastAsiaTheme="minorEastAsia"/>
          <w:szCs w:val="21"/>
        </w:rPr>
      </w:pPr>
      <w:r>
        <w:rPr>
          <w:rFonts w:hint="eastAsia" w:eastAsia="方正仿宋_GBK" w:cs="方正仿宋_GBK"/>
          <w:szCs w:val="21"/>
        </w:rPr>
        <w:t>平均业务及时响应率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2024年4月至2025年3月每月及时响应数总和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2024年4月至2025年3月每月应响应数总和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</w:p>
    <w:p w14:paraId="796E5E9E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申报人（单位）所在团组织查询的每个月数据中，如“需响应申请总数”为零，则该月的“及时响应率”不纳入计算范围。如：XX团总支202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>年1月的需响应申请总数为0，则按照公式直接计算其他月份的及时响应率平均值即可。</w:t>
      </w:r>
    </w:p>
    <w:p w14:paraId="7B0C6465">
      <w:pPr>
        <w:adjustRightInd w:val="0"/>
        <w:snapToGrid w:val="0"/>
        <w:jc w:val="left"/>
        <w:rPr>
          <w:rFonts w:eastAsia="方正仿宋_GBK" w:cs="方正仿宋_GBK"/>
          <w:szCs w:val="21"/>
        </w:rPr>
      </w:pPr>
      <w:r>
        <w:rPr>
          <w:rFonts w:hint="eastAsia" w:cs="宋体" w:eastAsiaTheme="minorEastAsia"/>
          <w:szCs w:val="21"/>
        </w:rPr>
        <w:t>3.</w:t>
      </w:r>
      <w:r>
        <w:rPr>
          <w:rFonts w:hint="eastAsia" w:eastAsia="方正仿宋_GBK" w:cs="方正仿宋_GBK"/>
          <w:szCs w:val="21"/>
        </w:rPr>
        <w:t xml:space="preserve"> 团员连续</w:t>
      </w:r>
      <w:r>
        <w:rPr>
          <w:rFonts w:eastAsia="方正仿宋_GBK"/>
          <w:szCs w:val="21"/>
        </w:rPr>
        <w:t>3</w:t>
      </w:r>
      <w:r>
        <w:rPr>
          <w:rFonts w:hint="eastAsia" w:eastAsia="方正仿宋_GBK" w:cs="方正仿宋_GBK"/>
          <w:szCs w:val="21"/>
        </w:rPr>
        <w:t>个月未交团费比例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连续3个月未交纳团费团员数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2024年4月至2025年3月应交纳团费团员数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den>
        </m:f>
      </m:oMath>
    </w:p>
    <w:p w14:paraId="6A87619F">
      <w:pPr>
        <w:adjustRightInd w:val="0"/>
        <w:snapToGrid w:val="0"/>
        <w:jc w:val="left"/>
        <w:rPr>
          <w:rFonts w:cs="宋体" w:eastAsiaTheme="minorEastAsia"/>
          <w:szCs w:val="21"/>
        </w:rPr>
      </w:pPr>
    </w:p>
    <w:p w14:paraId="7A32452B">
      <w:pPr>
        <w:adjustRightInd w:val="0"/>
        <w:snapToGrid w:val="0"/>
        <w:jc w:val="left"/>
        <w:rPr>
          <w:rFonts w:cs="宋体" w:eastAsiaTheme="minorEastAsia"/>
          <w:szCs w:val="21"/>
        </w:rPr>
      </w:pPr>
      <w:r>
        <w:rPr>
          <w:rFonts w:hint="eastAsia" w:cs="宋体"/>
          <w:szCs w:val="21"/>
        </w:rPr>
        <w:t>4.</w:t>
      </w:r>
      <w:r>
        <w:rPr>
          <w:rFonts w:hint="eastAsia" w:eastAsia="方正仿宋_GBK" w:cs="方正仿宋_GBK"/>
          <w:szCs w:val="21"/>
        </w:rPr>
        <w:t xml:space="preserve"> 本级及下级团组织书记规范配备率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>
          <v:shape id="_x0000_i1025" o:spt="75" type="#_x0000_t75" style="height:30.6pt;width:138.6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</w:p>
    <w:p w14:paraId="4EE6C07B">
      <w:pPr>
        <w:adjustRightInd w:val="0"/>
        <w:snapToGrid w:val="0"/>
        <w:spacing w:line="320" w:lineRule="exact"/>
        <w:jc w:val="left"/>
        <w:rPr>
          <w:rFonts w:cs="宋体"/>
          <w:color w:val="000000"/>
          <w:kern w:val="0"/>
          <w:szCs w:val="21"/>
        </w:rPr>
      </w:pPr>
      <w:r>
        <w:rPr>
          <w:rFonts w:hint="eastAsia" w:cs="宋体"/>
          <w:color w:val="000000"/>
          <w:kern w:val="0"/>
          <w:szCs w:val="21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p w14:paraId="646D37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699D3F5-FD07-45B4-BADC-164953F93DB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102CF55-6109-472D-AA66-3ED8B7C95F75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0E483D8B-D114-493E-8B0A-0DAEF68A8D4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4" w:fontKey="{C80FB0A9-94B1-4A74-AD7A-82D74417024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242F6"/>
    <w:rsid w:val="4A4A47DA"/>
    <w:rsid w:val="53F2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466</Words>
  <Characters>561</Characters>
  <Lines>0</Lines>
  <Paragraphs>0</Paragraphs>
  <TotalTime>1</TotalTime>
  <ScaleCrop>false</ScaleCrop>
  <LinksUpToDate>false</LinksUpToDate>
  <CharactersWithSpaces>612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2025-03-26T15:57:00Z</dcterms:created>
  <dc:creator>不忘初心</dc:creator>
  <cp:lastModifiedBy>不忘初心</cp:lastModifiedBy>
  <dcterms:modified xsi:type="dcterms:W3CDTF">2025-03-31T06:42:24Z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FBCAA5ED3EFF4126AED0494BD9710AAB_11</vt:lpwstr>
  </property>
  <property fmtid="{D5CDD505-2E9C-101B-9397-08002B2CF9AE}" pid="4" name="KSOTemplateDocerSaveRecord">
    <vt:lpwstr>eyJoZGlkIjoiZDA3ZDQwMmNiOWFlYzZjYTcwOWJiZGQ0YTA5ODBmZGUiLCJ1c2VySWQiOiI1OTIwMjcxMzEifQ==</vt:lpwstr>
  </property>
</Properties>
</file>